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F18E" w14:textId="12EB328E" w:rsidR="0084233D" w:rsidRDefault="004B011B">
      <w:r>
        <w:rPr>
          <w:noProof/>
        </w:rPr>
        <w:drawing>
          <wp:inline distT="0" distB="0" distL="0" distR="0" wp14:anchorId="1097A1D6" wp14:editId="0479C2A8">
            <wp:extent cx="4572000" cy="890374"/>
            <wp:effectExtent l="0" t="0" r="0" b="5080"/>
            <wp:docPr id="1" name="Picture 1" descr="C:\Users\KMiller\AppData\Local\Microsoft\Windows\Temporary Internet Files\Content.Word\ACC_ProductLogos_color_PFS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ler\AppData\Local\Microsoft\Windows\Temporary Internet Files\Content.Word\ACC_ProductLogos_color_PFS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690" cy="893429"/>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10430"/>
      </w:tblGrid>
      <w:tr w:rsidR="00B60411" w14:paraId="7E75414E" w14:textId="77777777" w:rsidTr="00B60411">
        <w:tc>
          <w:tcPr>
            <w:tcW w:w="11078" w:type="dxa"/>
          </w:tcPr>
          <w:p w14:paraId="4E3FBE52" w14:textId="1676F6F8" w:rsidR="00B60411" w:rsidRPr="007D7FB3" w:rsidRDefault="00B60411" w:rsidP="00B60411">
            <w:pPr>
              <w:spacing w:after="120"/>
              <w:ind w:right="270"/>
              <w:jc w:val="center"/>
              <w:rPr>
                <w:rFonts w:cs="Segoe UI"/>
                <w:b/>
                <w:sz w:val="28"/>
                <w:szCs w:val="28"/>
              </w:rPr>
            </w:pPr>
            <w:r w:rsidRPr="007D7FB3">
              <w:rPr>
                <w:rFonts w:cs="Segoe UI"/>
                <w:b/>
                <w:sz w:val="28"/>
                <w:szCs w:val="28"/>
              </w:rPr>
              <w:t xml:space="preserve">NYC Polystyrene (PS) </w:t>
            </w:r>
            <w:r w:rsidR="00512E3A">
              <w:rPr>
                <w:rFonts w:cs="Segoe UI"/>
                <w:b/>
                <w:sz w:val="28"/>
                <w:szCs w:val="28"/>
              </w:rPr>
              <w:t>Foam Foodservice Update – Nov 12</w:t>
            </w:r>
            <w:r w:rsidRPr="007D7FB3">
              <w:rPr>
                <w:rFonts w:cs="Segoe UI"/>
                <w:b/>
                <w:sz w:val="28"/>
                <w:szCs w:val="28"/>
              </w:rPr>
              <w:t>, 2017</w:t>
            </w:r>
          </w:p>
        </w:tc>
      </w:tr>
    </w:tbl>
    <w:p w14:paraId="0553C61A" w14:textId="630AA50D" w:rsidR="00A50339" w:rsidRPr="007D7FB3" w:rsidRDefault="00A50339" w:rsidP="007D7FB3">
      <w:pPr>
        <w:spacing w:after="120"/>
        <w:ind w:right="270"/>
        <w:rPr>
          <w:rFonts w:cs="Segoe UI"/>
          <w:sz w:val="24"/>
          <w:szCs w:val="24"/>
        </w:rPr>
      </w:pPr>
    </w:p>
    <w:p w14:paraId="02F5B8A1" w14:textId="6A97E31F" w:rsidR="00831171" w:rsidRDefault="008F21BC" w:rsidP="00831171">
      <w:pPr>
        <w:pStyle w:val="ListParagraph"/>
        <w:numPr>
          <w:ilvl w:val="0"/>
          <w:numId w:val="21"/>
        </w:numPr>
        <w:spacing w:after="0" w:line="240" w:lineRule="auto"/>
        <w:ind w:right="270"/>
        <w:rPr>
          <w:rFonts w:cs="Segoe UI"/>
          <w:sz w:val="24"/>
          <w:szCs w:val="24"/>
        </w:rPr>
      </w:pPr>
      <w:r w:rsidRPr="007D7FB3">
        <w:rPr>
          <w:rFonts w:cs="Segoe UI"/>
          <w:b/>
          <w:sz w:val="24"/>
          <w:szCs w:val="24"/>
        </w:rPr>
        <w:t>In 2013,</w:t>
      </w:r>
      <w:r w:rsidR="00831171">
        <w:rPr>
          <w:rFonts w:cs="Segoe UI"/>
          <w:b/>
          <w:sz w:val="24"/>
          <w:szCs w:val="24"/>
        </w:rPr>
        <w:t xml:space="preserve"> the</w:t>
      </w:r>
      <w:r w:rsidRPr="007D7FB3">
        <w:rPr>
          <w:rFonts w:cs="Segoe UI"/>
          <w:sz w:val="24"/>
          <w:szCs w:val="24"/>
        </w:rPr>
        <w:t xml:space="preserve"> NYC Council passed a legislation banning </w:t>
      </w:r>
      <w:r w:rsidR="007D7FB3" w:rsidRPr="007D7FB3">
        <w:rPr>
          <w:rFonts w:cs="Segoe UI"/>
          <w:sz w:val="24"/>
          <w:szCs w:val="24"/>
        </w:rPr>
        <w:t>polystyrene</w:t>
      </w:r>
      <w:r w:rsidR="007D7FB3">
        <w:rPr>
          <w:rFonts w:cs="Segoe UI"/>
          <w:sz w:val="24"/>
          <w:szCs w:val="24"/>
        </w:rPr>
        <w:t xml:space="preserve"> (PS)</w:t>
      </w:r>
      <w:r w:rsidRPr="007D7FB3">
        <w:rPr>
          <w:rFonts w:cs="Segoe UI"/>
          <w:sz w:val="24"/>
          <w:szCs w:val="24"/>
        </w:rPr>
        <w:t xml:space="preserve"> foam </w:t>
      </w:r>
      <w:r w:rsidR="007D7FB3" w:rsidRPr="007D7FB3">
        <w:rPr>
          <w:rFonts w:cs="Segoe UI"/>
          <w:sz w:val="24"/>
          <w:szCs w:val="24"/>
        </w:rPr>
        <w:t>foodservice</w:t>
      </w:r>
      <w:r w:rsidRPr="007D7FB3">
        <w:rPr>
          <w:rFonts w:cs="Segoe UI"/>
          <w:sz w:val="24"/>
          <w:szCs w:val="24"/>
        </w:rPr>
        <w:t xml:space="preserve"> </w:t>
      </w:r>
      <w:r w:rsidR="007D7FB3" w:rsidRPr="007D7FB3">
        <w:rPr>
          <w:rFonts w:cs="Segoe UI"/>
          <w:sz w:val="24"/>
          <w:szCs w:val="24"/>
        </w:rPr>
        <w:t>products</w:t>
      </w:r>
      <w:r w:rsidRPr="007D7FB3">
        <w:rPr>
          <w:rFonts w:cs="Segoe UI"/>
          <w:sz w:val="24"/>
          <w:szCs w:val="24"/>
        </w:rPr>
        <w:t>.  NYC Department</w:t>
      </w:r>
      <w:r w:rsidR="007D7FB3">
        <w:rPr>
          <w:rFonts w:cs="Segoe UI"/>
          <w:sz w:val="24"/>
          <w:szCs w:val="24"/>
        </w:rPr>
        <w:t xml:space="preserve"> of Sanitation </w:t>
      </w:r>
      <w:r w:rsidRPr="007D7FB3">
        <w:rPr>
          <w:rFonts w:cs="Segoe UI"/>
          <w:sz w:val="24"/>
          <w:szCs w:val="24"/>
        </w:rPr>
        <w:t xml:space="preserve">(DSNY) deemed polystyrene foam to be </w:t>
      </w:r>
      <w:r w:rsidR="007D7FB3" w:rsidRPr="007D7FB3">
        <w:rPr>
          <w:rFonts w:cs="Segoe UI"/>
          <w:sz w:val="24"/>
          <w:szCs w:val="24"/>
        </w:rPr>
        <w:t>unrecyclable</w:t>
      </w:r>
      <w:r w:rsidRPr="007D7FB3">
        <w:rPr>
          <w:rFonts w:cs="Segoe UI"/>
          <w:sz w:val="24"/>
          <w:szCs w:val="24"/>
        </w:rPr>
        <w:t>.  The ban was set to take effect on July 1, 2015, giving business</w:t>
      </w:r>
      <w:r w:rsidR="00831171">
        <w:rPr>
          <w:rFonts w:cs="Segoe UI"/>
          <w:sz w:val="24"/>
          <w:szCs w:val="24"/>
        </w:rPr>
        <w:t>es</w:t>
      </w:r>
      <w:r w:rsidRPr="007D7FB3">
        <w:rPr>
          <w:rFonts w:cs="Segoe UI"/>
          <w:sz w:val="24"/>
          <w:szCs w:val="24"/>
        </w:rPr>
        <w:t xml:space="preserve"> time to prepare </w:t>
      </w:r>
      <w:r w:rsidR="007D7FB3" w:rsidRPr="007D7FB3">
        <w:rPr>
          <w:rFonts w:cs="Segoe UI"/>
          <w:sz w:val="24"/>
          <w:szCs w:val="24"/>
        </w:rPr>
        <w:t>for</w:t>
      </w:r>
      <w:r w:rsidRPr="007D7FB3">
        <w:rPr>
          <w:rFonts w:cs="Segoe UI"/>
          <w:sz w:val="24"/>
          <w:szCs w:val="24"/>
        </w:rPr>
        <w:t xml:space="preserve"> the moratorium.  During the transition period, </w:t>
      </w:r>
      <w:r w:rsidRPr="007D7FB3">
        <w:rPr>
          <w:rFonts w:eastAsia="Times New Roman" w:cs="Segoe UI"/>
          <w:sz w:val="24"/>
          <w:szCs w:val="24"/>
        </w:rPr>
        <w:t>a coalition of restaurant owners, manufacturers, recyclers and fo</w:t>
      </w:r>
      <w:r w:rsidR="007D7FB3">
        <w:rPr>
          <w:rFonts w:eastAsia="Times New Roman" w:cs="Segoe UI"/>
          <w:sz w:val="24"/>
          <w:szCs w:val="24"/>
        </w:rPr>
        <w:t xml:space="preserve">odservice industry leaders </w:t>
      </w:r>
      <w:r w:rsidRPr="007D7FB3">
        <w:rPr>
          <w:rFonts w:eastAsia="Times New Roman" w:cs="Segoe UI"/>
          <w:sz w:val="24"/>
          <w:szCs w:val="24"/>
        </w:rPr>
        <w:t xml:space="preserve">filed suit </w:t>
      </w:r>
      <w:r w:rsidR="007D7FB3">
        <w:rPr>
          <w:rFonts w:eastAsia="Times New Roman" w:cs="Segoe UI"/>
          <w:sz w:val="24"/>
          <w:szCs w:val="24"/>
        </w:rPr>
        <w:t xml:space="preserve">in the NY </w:t>
      </w:r>
      <w:r w:rsidRPr="007D7FB3">
        <w:rPr>
          <w:rFonts w:eastAsia="Times New Roman" w:cs="Segoe UI"/>
          <w:sz w:val="24"/>
          <w:szCs w:val="24"/>
        </w:rPr>
        <w:t xml:space="preserve">Supreme Court against the New York City de Blasio Administration </w:t>
      </w:r>
      <w:r w:rsidRPr="007D7FB3">
        <w:rPr>
          <w:rFonts w:cs="Segoe UI"/>
          <w:sz w:val="24"/>
          <w:szCs w:val="24"/>
        </w:rPr>
        <w:t xml:space="preserve">to overturn </w:t>
      </w:r>
      <w:r w:rsidR="00831171">
        <w:rPr>
          <w:rFonts w:cs="Segoe UI"/>
          <w:sz w:val="24"/>
          <w:szCs w:val="24"/>
        </w:rPr>
        <w:t xml:space="preserve">the </w:t>
      </w:r>
      <w:r w:rsidRPr="007D7FB3">
        <w:rPr>
          <w:rFonts w:cs="Segoe UI"/>
          <w:sz w:val="24"/>
          <w:szCs w:val="24"/>
        </w:rPr>
        <w:t xml:space="preserve">ban on foam foodservice.  </w:t>
      </w:r>
    </w:p>
    <w:p w14:paraId="0DCBFC34" w14:textId="77777777" w:rsidR="00512E3A" w:rsidRDefault="00512E3A" w:rsidP="00512E3A">
      <w:pPr>
        <w:pStyle w:val="ListParagraph"/>
        <w:spacing w:after="0" w:line="240" w:lineRule="auto"/>
        <w:ind w:right="270"/>
        <w:rPr>
          <w:rFonts w:cs="Segoe UI"/>
          <w:sz w:val="24"/>
          <w:szCs w:val="24"/>
        </w:rPr>
      </w:pPr>
    </w:p>
    <w:p w14:paraId="4CE77691" w14:textId="3E54049F" w:rsidR="00831171" w:rsidRDefault="008F21BC" w:rsidP="00831171">
      <w:pPr>
        <w:pStyle w:val="ListParagraph"/>
        <w:numPr>
          <w:ilvl w:val="0"/>
          <w:numId w:val="21"/>
        </w:numPr>
        <w:spacing w:after="0" w:line="240" w:lineRule="auto"/>
        <w:ind w:right="270"/>
        <w:rPr>
          <w:rFonts w:cs="Segoe UI"/>
          <w:sz w:val="24"/>
          <w:szCs w:val="24"/>
        </w:rPr>
      </w:pPr>
      <w:r w:rsidRPr="00512E3A">
        <w:rPr>
          <w:rFonts w:cs="Segoe UI"/>
          <w:b/>
          <w:sz w:val="24"/>
          <w:szCs w:val="24"/>
        </w:rPr>
        <w:t>September 2015</w:t>
      </w:r>
      <w:r w:rsidR="00831171">
        <w:rPr>
          <w:rFonts w:cs="Segoe UI"/>
          <w:sz w:val="24"/>
          <w:szCs w:val="24"/>
        </w:rPr>
        <w:t>,</w:t>
      </w:r>
      <w:r w:rsidRPr="007D7FB3">
        <w:rPr>
          <w:rFonts w:cs="Segoe UI"/>
          <w:sz w:val="24"/>
          <w:szCs w:val="24"/>
        </w:rPr>
        <w:t xml:space="preserve"> </w:t>
      </w:r>
      <w:r w:rsidR="00831171">
        <w:rPr>
          <w:rFonts w:cs="Segoe UI"/>
          <w:sz w:val="24"/>
          <w:szCs w:val="24"/>
        </w:rPr>
        <w:t>the court</w:t>
      </w:r>
      <w:r w:rsidRPr="007D7FB3">
        <w:rPr>
          <w:rFonts w:cs="Segoe UI"/>
          <w:sz w:val="24"/>
          <w:szCs w:val="24"/>
        </w:rPr>
        <w:t xml:space="preserve"> ruled business provided </w:t>
      </w:r>
      <w:r w:rsidR="007D7FB3" w:rsidRPr="007D7FB3">
        <w:rPr>
          <w:rFonts w:cs="Segoe UI"/>
          <w:sz w:val="24"/>
          <w:szCs w:val="24"/>
        </w:rPr>
        <w:t xml:space="preserve">sufficient evident to show polystyrene foam could be recycled, </w:t>
      </w:r>
      <w:r w:rsidR="007D7FB3" w:rsidRPr="007D7FB3">
        <w:rPr>
          <w:rFonts w:cs="Segoe UI"/>
          <w:sz w:val="24"/>
          <w:szCs w:val="24"/>
          <w:u w:val="single"/>
        </w:rPr>
        <w:t>and lifted the ban.</w:t>
      </w:r>
      <w:r w:rsidR="007D7FB3" w:rsidRPr="007D7FB3">
        <w:rPr>
          <w:rFonts w:cs="Segoe UI"/>
          <w:sz w:val="24"/>
          <w:szCs w:val="24"/>
        </w:rPr>
        <w:t xml:space="preserve">  </w:t>
      </w:r>
    </w:p>
    <w:p w14:paraId="6E6A0A56" w14:textId="77777777" w:rsidR="00512E3A" w:rsidRPr="00512E3A" w:rsidRDefault="00512E3A" w:rsidP="00512E3A">
      <w:pPr>
        <w:pStyle w:val="ListParagraph"/>
        <w:rPr>
          <w:rFonts w:cs="Segoe UI"/>
          <w:sz w:val="24"/>
          <w:szCs w:val="24"/>
        </w:rPr>
      </w:pPr>
    </w:p>
    <w:p w14:paraId="484DA3A0" w14:textId="35C8281A" w:rsidR="00831171" w:rsidRDefault="00831171" w:rsidP="00831171">
      <w:pPr>
        <w:pStyle w:val="ListParagraph"/>
        <w:numPr>
          <w:ilvl w:val="0"/>
          <w:numId w:val="21"/>
        </w:numPr>
        <w:spacing w:after="0" w:line="240" w:lineRule="auto"/>
        <w:ind w:right="270"/>
        <w:rPr>
          <w:rFonts w:cs="Segoe UI"/>
          <w:sz w:val="24"/>
          <w:szCs w:val="24"/>
        </w:rPr>
      </w:pPr>
      <w:r w:rsidRPr="00831171">
        <w:rPr>
          <w:rFonts w:cs="Segoe UI"/>
          <w:b/>
          <w:sz w:val="24"/>
          <w:szCs w:val="24"/>
        </w:rPr>
        <w:t>May</w:t>
      </w:r>
      <w:r w:rsidRPr="00512E3A">
        <w:rPr>
          <w:rFonts w:cs="Segoe UI"/>
          <w:b/>
          <w:sz w:val="24"/>
          <w:szCs w:val="24"/>
        </w:rPr>
        <w:t xml:space="preserve"> 2017</w:t>
      </w:r>
      <w:r>
        <w:rPr>
          <w:rFonts w:cs="Segoe UI"/>
          <w:sz w:val="24"/>
          <w:szCs w:val="24"/>
        </w:rPr>
        <w:t>, the DSNY responded to the ruling by crafting an analysis claiming that PS recycling is not economical,</w:t>
      </w:r>
      <w:r w:rsidRPr="00831171">
        <w:rPr>
          <w:rFonts w:cs="Segoe UI"/>
          <w:sz w:val="24"/>
          <w:szCs w:val="24"/>
        </w:rPr>
        <w:t xml:space="preserve"> co</w:t>
      </w:r>
      <w:r>
        <w:rPr>
          <w:rFonts w:cs="Segoe UI"/>
          <w:sz w:val="24"/>
          <w:szCs w:val="24"/>
        </w:rPr>
        <w:t>ntaminates the recycling stream and will result in a</w:t>
      </w:r>
      <w:r w:rsidRPr="00831171">
        <w:rPr>
          <w:rFonts w:cs="Segoe UI"/>
          <w:sz w:val="24"/>
          <w:szCs w:val="24"/>
        </w:rPr>
        <w:t xml:space="preserve"> redu</w:t>
      </w:r>
      <w:r>
        <w:rPr>
          <w:rFonts w:cs="Segoe UI"/>
          <w:sz w:val="24"/>
          <w:szCs w:val="24"/>
        </w:rPr>
        <w:t>ction a program’s recycling rate. The de Blasio administration is relying upon the analysis to reinstate the 2013 ban.</w:t>
      </w:r>
    </w:p>
    <w:p w14:paraId="2D4977B6" w14:textId="77777777" w:rsidR="00831171" w:rsidRDefault="00831171" w:rsidP="00512E3A">
      <w:pPr>
        <w:pStyle w:val="ListParagraph"/>
        <w:spacing w:after="0" w:line="240" w:lineRule="auto"/>
        <w:ind w:right="270"/>
        <w:rPr>
          <w:rFonts w:cs="Segoe UI"/>
          <w:sz w:val="24"/>
          <w:szCs w:val="24"/>
        </w:rPr>
      </w:pPr>
    </w:p>
    <w:p w14:paraId="402C96F1" w14:textId="0CC0BA64" w:rsidR="00831171" w:rsidRPr="007D7FB3" w:rsidRDefault="00831171" w:rsidP="00831171">
      <w:pPr>
        <w:pStyle w:val="ListParagraph"/>
        <w:numPr>
          <w:ilvl w:val="0"/>
          <w:numId w:val="21"/>
        </w:numPr>
        <w:spacing w:after="0" w:line="240" w:lineRule="auto"/>
        <w:ind w:right="270"/>
        <w:rPr>
          <w:rFonts w:cs="Segoe UI"/>
          <w:sz w:val="24"/>
          <w:szCs w:val="24"/>
        </w:rPr>
      </w:pPr>
      <w:r w:rsidRPr="00512E3A">
        <w:rPr>
          <w:rFonts w:cs="Segoe UI"/>
          <w:b/>
          <w:sz w:val="24"/>
          <w:szCs w:val="24"/>
        </w:rPr>
        <w:t>September 2017</w:t>
      </w:r>
      <w:r>
        <w:rPr>
          <w:rFonts w:cs="Segoe UI"/>
          <w:sz w:val="24"/>
          <w:szCs w:val="24"/>
        </w:rPr>
        <w:t xml:space="preserve">, </w:t>
      </w:r>
      <w:r w:rsidRPr="007D7FB3">
        <w:rPr>
          <w:rFonts w:eastAsia="Times New Roman" w:cs="Segoe UI"/>
          <w:sz w:val="24"/>
          <w:szCs w:val="24"/>
        </w:rPr>
        <w:t>a coalition of restaurant owners, manufacturers, recyclers and fo</w:t>
      </w:r>
      <w:r>
        <w:rPr>
          <w:rFonts w:eastAsia="Times New Roman" w:cs="Segoe UI"/>
          <w:sz w:val="24"/>
          <w:szCs w:val="24"/>
        </w:rPr>
        <w:t xml:space="preserve">odservice industry leaders again </w:t>
      </w:r>
      <w:r w:rsidRPr="007D7FB3">
        <w:rPr>
          <w:rFonts w:eastAsia="Times New Roman" w:cs="Segoe UI"/>
          <w:sz w:val="24"/>
          <w:szCs w:val="24"/>
        </w:rPr>
        <w:t xml:space="preserve">filed suit </w:t>
      </w:r>
      <w:r>
        <w:rPr>
          <w:rFonts w:eastAsia="Times New Roman" w:cs="Segoe UI"/>
          <w:sz w:val="24"/>
          <w:szCs w:val="24"/>
        </w:rPr>
        <w:t xml:space="preserve">in the NY </w:t>
      </w:r>
      <w:r w:rsidRPr="007D7FB3">
        <w:rPr>
          <w:rFonts w:eastAsia="Times New Roman" w:cs="Segoe UI"/>
          <w:sz w:val="24"/>
          <w:szCs w:val="24"/>
        </w:rPr>
        <w:t>Supreme Court</w:t>
      </w:r>
      <w:r>
        <w:rPr>
          <w:rFonts w:eastAsia="Times New Roman" w:cs="Segoe UI"/>
          <w:sz w:val="24"/>
          <w:szCs w:val="24"/>
        </w:rPr>
        <w:t>, urging</w:t>
      </w:r>
      <w:r w:rsidRPr="00831171">
        <w:rPr>
          <w:rFonts w:eastAsia="Times New Roman" w:cs="Segoe UI"/>
          <w:sz w:val="24"/>
          <w:szCs w:val="24"/>
        </w:rPr>
        <w:t xml:space="preserve"> the city to forego its plans to ban foam in early November and instead establish a postconsumer recycling program.</w:t>
      </w:r>
      <w:r>
        <w:rPr>
          <w:rFonts w:eastAsia="Times New Roman" w:cs="Segoe UI"/>
          <w:sz w:val="24"/>
          <w:szCs w:val="24"/>
        </w:rPr>
        <w:t xml:space="preserve"> </w:t>
      </w:r>
      <w:r w:rsidRPr="007D7FB3">
        <w:rPr>
          <w:rFonts w:cs="Segoe UI"/>
          <w:sz w:val="24"/>
          <w:szCs w:val="24"/>
        </w:rPr>
        <w:t xml:space="preserve"> The suit would require the Department to comply with its statutorily mandated duty to recycle foam as previously ordered by the New York Supreme Court in September 2015.</w:t>
      </w:r>
    </w:p>
    <w:p w14:paraId="24A820EC" w14:textId="77777777" w:rsidR="007D7FB3" w:rsidRPr="00512E3A" w:rsidRDefault="007D7FB3" w:rsidP="00512E3A">
      <w:pPr>
        <w:spacing w:after="0" w:line="240" w:lineRule="auto"/>
        <w:ind w:right="270"/>
        <w:rPr>
          <w:rFonts w:cs="Segoe UI"/>
          <w:sz w:val="24"/>
          <w:szCs w:val="24"/>
        </w:rPr>
      </w:pPr>
    </w:p>
    <w:p w14:paraId="3FCB84E5" w14:textId="3F9CB1B4" w:rsidR="00831171" w:rsidRDefault="00831171" w:rsidP="00B60411">
      <w:pPr>
        <w:pStyle w:val="ListParagraph"/>
        <w:numPr>
          <w:ilvl w:val="0"/>
          <w:numId w:val="21"/>
        </w:numPr>
        <w:spacing w:after="0" w:line="240" w:lineRule="auto"/>
        <w:ind w:right="270"/>
        <w:rPr>
          <w:rFonts w:cs="Segoe UI"/>
          <w:sz w:val="24"/>
          <w:szCs w:val="24"/>
          <w:u w:val="single"/>
        </w:rPr>
      </w:pPr>
      <w:r>
        <w:rPr>
          <w:rFonts w:cs="Segoe UI"/>
          <w:b/>
          <w:sz w:val="24"/>
          <w:szCs w:val="24"/>
        </w:rPr>
        <w:t xml:space="preserve">November </w:t>
      </w:r>
      <w:r w:rsidR="007D7FB3" w:rsidRPr="007D7FB3">
        <w:rPr>
          <w:rFonts w:cs="Segoe UI"/>
          <w:b/>
          <w:sz w:val="24"/>
          <w:szCs w:val="24"/>
        </w:rPr>
        <w:t>2017,</w:t>
      </w:r>
      <w:r w:rsidR="007D7FB3">
        <w:rPr>
          <w:rFonts w:cs="Segoe UI"/>
          <w:sz w:val="24"/>
          <w:szCs w:val="24"/>
        </w:rPr>
        <w:t xml:space="preserve"> </w:t>
      </w:r>
      <w:r w:rsidR="00A50339" w:rsidRPr="00996661">
        <w:rPr>
          <w:rFonts w:cs="Segoe UI"/>
          <w:sz w:val="24"/>
          <w:szCs w:val="24"/>
        </w:rPr>
        <w:t xml:space="preserve">DSNY has </w:t>
      </w:r>
      <w:r>
        <w:rPr>
          <w:rFonts w:cs="Segoe UI"/>
          <w:sz w:val="24"/>
          <w:szCs w:val="24"/>
        </w:rPr>
        <w:t>re</w:t>
      </w:r>
      <w:r w:rsidR="00A50339" w:rsidRPr="00996661">
        <w:rPr>
          <w:rFonts w:cs="Segoe UI"/>
          <w:sz w:val="24"/>
          <w:szCs w:val="24"/>
        </w:rPr>
        <w:t>instituted a ban on foam foodservice packagin</w:t>
      </w:r>
      <w:r w:rsidR="007D7FB3">
        <w:rPr>
          <w:rFonts w:cs="Segoe UI"/>
          <w:sz w:val="24"/>
          <w:szCs w:val="24"/>
        </w:rPr>
        <w:t>g effective November 13, 2017.   H</w:t>
      </w:r>
      <w:r w:rsidR="00A50339" w:rsidRPr="00996661">
        <w:rPr>
          <w:rFonts w:cs="Segoe UI"/>
          <w:sz w:val="24"/>
          <w:szCs w:val="24"/>
        </w:rPr>
        <w:t xml:space="preserve">owever, DSNY has confirmed the ban will not be enforced </w:t>
      </w:r>
      <w:r w:rsidR="007D7FB3">
        <w:rPr>
          <w:rFonts w:cs="Segoe UI"/>
          <w:sz w:val="24"/>
          <w:szCs w:val="24"/>
        </w:rPr>
        <w:t xml:space="preserve">until May 14, 2018.   </w:t>
      </w:r>
      <w:r w:rsidR="007D7FB3" w:rsidRPr="007D7FB3">
        <w:rPr>
          <w:rFonts w:cs="Segoe UI"/>
          <w:sz w:val="24"/>
          <w:szCs w:val="24"/>
          <w:u w:val="single"/>
        </w:rPr>
        <w:t>U</w:t>
      </w:r>
      <w:r w:rsidR="00A50339" w:rsidRPr="007D7FB3">
        <w:rPr>
          <w:rFonts w:cs="Segoe UI"/>
          <w:sz w:val="24"/>
          <w:szCs w:val="24"/>
          <w:u w:val="single"/>
        </w:rPr>
        <w:t xml:space="preserve">sers of foam foodservice packaging are free to continue to use it </w:t>
      </w:r>
      <w:r w:rsidR="007D7FB3" w:rsidRPr="007D7FB3">
        <w:rPr>
          <w:rFonts w:cs="Segoe UI"/>
          <w:sz w:val="24"/>
          <w:szCs w:val="24"/>
          <w:u w:val="single"/>
        </w:rPr>
        <w:t xml:space="preserve">in NYC </w:t>
      </w:r>
      <w:r w:rsidR="00A50339" w:rsidRPr="007D7FB3">
        <w:rPr>
          <w:rFonts w:cs="Segoe UI"/>
          <w:sz w:val="24"/>
          <w:szCs w:val="24"/>
          <w:u w:val="single"/>
        </w:rPr>
        <w:t>at this time.</w:t>
      </w:r>
    </w:p>
    <w:p w14:paraId="6CED52DF" w14:textId="77777777" w:rsidR="00512E3A" w:rsidRPr="00512E3A" w:rsidRDefault="00512E3A" w:rsidP="00512E3A">
      <w:pPr>
        <w:spacing w:after="0" w:line="240" w:lineRule="auto"/>
        <w:ind w:right="270"/>
        <w:rPr>
          <w:rFonts w:cs="Segoe UI"/>
          <w:sz w:val="24"/>
          <w:szCs w:val="24"/>
          <w:u w:val="single"/>
        </w:rPr>
      </w:pPr>
    </w:p>
    <w:p w14:paraId="1588720B" w14:textId="18207B37" w:rsidR="00A50339" w:rsidRPr="00996661" w:rsidRDefault="00A50339" w:rsidP="00B60411">
      <w:pPr>
        <w:pStyle w:val="ListParagraph"/>
        <w:numPr>
          <w:ilvl w:val="0"/>
          <w:numId w:val="21"/>
        </w:numPr>
        <w:spacing w:after="0" w:line="240" w:lineRule="auto"/>
        <w:ind w:right="270"/>
        <w:rPr>
          <w:rFonts w:cs="Segoe UI"/>
          <w:sz w:val="24"/>
          <w:szCs w:val="24"/>
        </w:rPr>
      </w:pPr>
      <w:r w:rsidRPr="00996661">
        <w:rPr>
          <w:rFonts w:cs="Segoe UI"/>
          <w:sz w:val="24"/>
          <w:szCs w:val="24"/>
        </w:rPr>
        <w:t>Inf</w:t>
      </w:r>
      <w:r w:rsidR="007D7FB3">
        <w:rPr>
          <w:rFonts w:cs="Segoe UI"/>
          <w:sz w:val="24"/>
          <w:szCs w:val="24"/>
        </w:rPr>
        <w:t>ormation about the</w:t>
      </w:r>
      <w:r w:rsidRPr="00996661">
        <w:rPr>
          <w:rFonts w:cs="Segoe UI"/>
          <w:sz w:val="24"/>
          <w:szCs w:val="24"/>
        </w:rPr>
        <w:t xml:space="preserve"> Industry’s proposed recycling program, including educational videos, can be found at </w:t>
      </w:r>
      <w:hyperlink r:id="rId10" w:history="1">
        <w:r w:rsidRPr="00996661">
          <w:rPr>
            <w:rStyle w:val="Hyperlink"/>
            <w:rFonts w:cs="Segoe UI"/>
            <w:sz w:val="24"/>
            <w:szCs w:val="24"/>
          </w:rPr>
          <w:t>www.RAANYC.com</w:t>
        </w:r>
      </w:hyperlink>
      <w:r w:rsidRPr="00996661">
        <w:rPr>
          <w:rFonts w:cs="Segoe UI"/>
          <w:sz w:val="24"/>
          <w:szCs w:val="24"/>
        </w:rPr>
        <w:t>.</w:t>
      </w:r>
      <w:bookmarkStart w:id="0" w:name="_GoBack"/>
      <w:bookmarkEnd w:id="0"/>
    </w:p>
    <w:p w14:paraId="2E8BC92B" w14:textId="77777777" w:rsidR="00A50339" w:rsidRPr="00996661" w:rsidRDefault="00A50339" w:rsidP="00B60411">
      <w:pPr>
        <w:pStyle w:val="ListParagraph"/>
        <w:spacing w:after="0" w:line="240" w:lineRule="auto"/>
        <w:rPr>
          <w:rFonts w:cs="Segoe UI"/>
          <w:sz w:val="24"/>
          <w:szCs w:val="24"/>
        </w:rPr>
      </w:pPr>
    </w:p>
    <w:p w14:paraId="43B140CD" w14:textId="77777777" w:rsidR="00A50339" w:rsidRPr="00996661" w:rsidRDefault="00A50339" w:rsidP="00B60411">
      <w:pPr>
        <w:pStyle w:val="ListParagraph"/>
        <w:numPr>
          <w:ilvl w:val="0"/>
          <w:numId w:val="21"/>
        </w:numPr>
        <w:spacing w:after="0" w:line="240" w:lineRule="auto"/>
        <w:ind w:right="270"/>
        <w:rPr>
          <w:rFonts w:cs="Segoe UI"/>
          <w:sz w:val="24"/>
          <w:szCs w:val="24"/>
        </w:rPr>
      </w:pPr>
      <w:r w:rsidRPr="00996661">
        <w:rPr>
          <w:rFonts w:cs="Segoe UI"/>
          <w:sz w:val="24"/>
          <w:szCs w:val="24"/>
        </w:rPr>
        <w:t>Here is a summary of the program:</w:t>
      </w:r>
    </w:p>
    <w:p w14:paraId="020FCB92" w14:textId="77777777" w:rsidR="00A50339" w:rsidRPr="00996661" w:rsidRDefault="00A50339" w:rsidP="00B60411">
      <w:pPr>
        <w:pStyle w:val="ListParagraph"/>
        <w:numPr>
          <w:ilvl w:val="0"/>
          <w:numId w:val="22"/>
        </w:numPr>
        <w:spacing w:after="0" w:line="240" w:lineRule="auto"/>
        <w:ind w:left="1440"/>
        <w:contextualSpacing w:val="0"/>
        <w:rPr>
          <w:sz w:val="24"/>
          <w:szCs w:val="24"/>
        </w:rPr>
      </w:pPr>
      <w:r w:rsidRPr="00996661">
        <w:rPr>
          <w:sz w:val="24"/>
          <w:szCs w:val="24"/>
        </w:rPr>
        <w:t xml:space="preserve">The recycling plan will cover virtually 100% of PS in NYC’s residential recycling stream whereas the proposed ban only covers a little more than 20% of NYC’s PS which means the roughly 80% of remaining PS will continued to be landfilled. </w:t>
      </w:r>
    </w:p>
    <w:p w14:paraId="33016460" w14:textId="77777777" w:rsidR="00A50339" w:rsidRPr="00996661" w:rsidRDefault="00A50339" w:rsidP="00B60411">
      <w:pPr>
        <w:pStyle w:val="ListParagraph"/>
        <w:numPr>
          <w:ilvl w:val="0"/>
          <w:numId w:val="22"/>
        </w:numPr>
        <w:spacing w:after="0" w:line="240" w:lineRule="auto"/>
        <w:ind w:left="1440"/>
        <w:contextualSpacing w:val="0"/>
        <w:rPr>
          <w:color w:val="000000"/>
          <w:sz w:val="24"/>
          <w:szCs w:val="24"/>
        </w:rPr>
      </w:pPr>
      <w:r w:rsidRPr="00996661">
        <w:rPr>
          <w:sz w:val="24"/>
          <w:szCs w:val="24"/>
        </w:rPr>
        <w:t xml:space="preserve">Plastic Recycling, Inc., Indianapolis, Indiana is ready to purchase and pay to transport NYC’s PS by rail or barge out of NYC to its recycling facility starting today.  </w:t>
      </w:r>
    </w:p>
    <w:p w14:paraId="57748387" w14:textId="77777777" w:rsidR="00A50339" w:rsidRPr="00996661" w:rsidRDefault="00A50339" w:rsidP="00B60411">
      <w:pPr>
        <w:pStyle w:val="ListParagraph"/>
        <w:numPr>
          <w:ilvl w:val="0"/>
          <w:numId w:val="22"/>
        </w:numPr>
        <w:spacing w:after="0" w:line="240" w:lineRule="auto"/>
        <w:ind w:left="1440"/>
        <w:contextualSpacing w:val="0"/>
        <w:rPr>
          <w:sz w:val="24"/>
          <w:szCs w:val="24"/>
        </w:rPr>
      </w:pPr>
      <w:r>
        <w:rPr>
          <w:sz w:val="24"/>
          <w:szCs w:val="24"/>
        </w:rPr>
        <w:t xml:space="preserve">A </w:t>
      </w:r>
      <w:r w:rsidRPr="00996661">
        <w:rPr>
          <w:sz w:val="24"/>
          <w:szCs w:val="24"/>
        </w:rPr>
        <w:t>report by Skumatz Economic Research Associates shows the profitability of the recovery of PS relative to other materials currently accepted in DSNY’s recycling program. In fact, it shows that, even without the Dart investment, PS recovery is profitable and more profitable per ton than glass, aseptic, and ferrous materials.</w:t>
      </w:r>
    </w:p>
    <w:p w14:paraId="6E829951" w14:textId="7E513E32" w:rsidR="00A50339" w:rsidRPr="00512E3A" w:rsidRDefault="00A50339" w:rsidP="006F3173">
      <w:pPr>
        <w:pStyle w:val="ListParagraph"/>
        <w:numPr>
          <w:ilvl w:val="0"/>
          <w:numId w:val="22"/>
        </w:numPr>
        <w:spacing w:after="120" w:line="240" w:lineRule="auto"/>
        <w:ind w:left="1440"/>
        <w:contextualSpacing w:val="0"/>
        <w:rPr>
          <w:rFonts w:cs="Segoe UI"/>
          <w:sz w:val="24"/>
          <w:szCs w:val="24"/>
        </w:rPr>
      </w:pPr>
      <w:r w:rsidRPr="00512E3A">
        <w:rPr>
          <w:sz w:val="24"/>
          <w:szCs w:val="24"/>
        </w:rPr>
        <w:t>A report by Berkeley Research Group determined the PS recycling proposal results in an economic gain for NYC of more than $56 million per year.</w:t>
      </w:r>
    </w:p>
    <w:sectPr w:rsidR="00A50339" w:rsidRPr="00512E3A" w:rsidSect="007D7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C57"/>
    <w:multiLevelType w:val="hybridMultilevel"/>
    <w:tmpl w:val="8D20A4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A7781"/>
    <w:multiLevelType w:val="hybridMultilevel"/>
    <w:tmpl w:val="B6C2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1728F"/>
    <w:multiLevelType w:val="multilevel"/>
    <w:tmpl w:val="490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C758F"/>
    <w:multiLevelType w:val="hybridMultilevel"/>
    <w:tmpl w:val="9332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E0BDE"/>
    <w:multiLevelType w:val="hybridMultilevel"/>
    <w:tmpl w:val="C8F05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614360"/>
    <w:multiLevelType w:val="hybridMultilevel"/>
    <w:tmpl w:val="F8022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165FB"/>
    <w:multiLevelType w:val="hybridMultilevel"/>
    <w:tmpl w:val="10CE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A5BD8"/>
    <w:multiLevelType w:val="hybridMultilevel"/>
    <w:tmpl w:val="307C9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792BC3"/>
    <w:multiLevelType w:val="hybridMultilevel"/>
    <w:tmpl w:val="AD900C34"/>
    <w:lvl w:ilvl="0" w:tplc="19A4F8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1C6C13"/>
    <w:multiLevelType w:val="multilevel"/>
    <w:tmpl w:val="D9728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9B5746A"/>
    <w:multiLevelType w:val="hybridMultilevel"/>
    <w:tmpl w:val="C04230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C36F0"/>
    <w:multiLevelType w:val="hybridMultilevel"/>
    <w:tmpl w:val="CACEF4F8"/>
    <w:lvl w:ilvl="0" w:tplc="A3986B6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D08D2"/>
    <w:multiLevelType w:val="hybridMultilevel"/>
    <w:tmpl w:val="3C503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CA5D5F"/>
    <w:multiLevelType w:val="hybridMultilevel"/>
    <w:tmpl w:val="0936C5C0"/>
    <w:lvl w:ilvl="0" w:tplc="6884046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CD7893"/>
    <w:multiLevelType w:val="hybridMultilevel"/>
    <w:tmpl w:val="10A6F662"/>
    <w:lvl w:ilvl="0" w:tplc="BDCAA04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5A57AE"/>
    <w:multiLevelType w:val="hybridMultilevel"/>
    <w:tmpl w:val="1A105F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DD4BD1"/>
    <w:multiLevelType w:val="hybridMultilevel"/>
    <w:tmpl w:val="552A9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4126A3"/>
    <w:multiLevelType w:val="hybridMultilevel"/>
    <w:tmpl w:val="2274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495BA4"/>
    <w:multiLevelType w:val="multilevel"/>
    <w:tmpl w:val="DCAA0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95987"/>
    <w:multiLevelType w:val="hybridMultilevel"/>
    <w:tmpl w:val="69D0A98A"/>
    <w:lvl w:ilvl="0" w:tplc="9A0A1720">
      <w:start w:val="1"/>
      <w:numFmt w:val="upperLetter"/>
      <w:lvlText w:val="%1."/>
      <w:lvlJc w:val="left"/>
      <w:pPr>
        <w:ind w:left="360" w:hanging="360"/>
      </w:pPr>
      <w:rPr>
        <w:rFonts w:ascii="Calibri" w:hAnsi="Calibri" w:cs="Calibri" w:hint="default"/>
        <w:color w:val="000000"/>
        <w:sz w:val="22"/>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2D25A31"/>
    <w:multiLevelType w:val="hybridMultilevel"/>
    <w:tmpl w:val="C26E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A1CE5"/>
    <w:multiLevelType w:val="hybridMultilevel"/>
    <w:tmpl w:val="D1F68328"/>
    <w:lvl w:ilvl="0" w:tplc="1842F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67D43"/>
    <w:multiLevelType w:val="hybridMultilevel"/>
    <w:tmpl w:val="263410C6"/>
    <w:lvl w:ilvl="0" w:tplc="04090005">
      <w:start w:val="1"/>
      <w:numFmt w:val="bullet"/>
      <w:lvlText w:val=""/>
      <w:lvlJc w:val="left"/>
      <w:pPr>
        <w:ind w:left="360" w:hanging="360"/>
      </w:pPr>
      <w:rPr>
        <w:rFonts w:ascii="Wingdings" w:hAnsi="Wingdings" w:hint="default"/>
      </w:rPr>
    </w:lvl>
    <w:lvl w:ilvl="1" w:tplc="18A4C7F4">
      <w:start w:val="1"/>
      <w:numFmt w:val="upperRoman"/>
      <w:lvlText w:val="%2."/>
      <w:lvlJc w:val="left"/>
      <w:pPr>
        <w:ind w:left="1080" w:hanging="360"/>
      </w:pPr>
      <w:rPr>
        <w:rFonts w:ascii="Times New Roman" w:eastAsia="Times New Roman" w:hAnsi="Times New Roman"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21"/>
  </w:num>
  <w:num w:numId="4">
    <w:abstractNumId w:val="11"/>
  </w:num>
  <w:num w:numId="5">
    <w:abstractNumId w:val="0"/>
  </w:num>
  <w:num w:numId="6">
    <w:abstractNumId w:val="12"/>
  </w:num>
  <w:num w:numId="7">
    <w:abstractNumId w:val="4"/>
  </w:num>
  <w:num w:numId="8">
    <w:abstractNumId w:val="17"/>
  </w:num>
  <w:num w:numId="9">
    <w:abstractNumId w:val="1"/>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8"/>
  </w:num>
  <w:num w:numId="19">
    <w:abstractNumId w:val="8"/>
  </w:num>
  <w:num w:numId="20">
    <w:abstractNumId w:val="3"/>
  </w:num>
  <w:num w:numId="21">
    <w:abstractNumId w:val="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1B"/>
    <w:rsid w:val="00012DE3"/>
    <w:rsid w:val="00041BB0"/>
    <w:rsid w:val="00053605"/>
    <w:rsid w:val="00061957"/>
    <w:rsid w:val="00063E57"/>
    <w:rsid w:val="000B0AE2"/>
    <w:rsid w:val="000D0648"/>
    <w:rsid w:val="000E2E9C"/>
    <w:rsid w:val="00125821"/>
    <w:rsid w:val="0014273B"/>
    <w:rsid w:val="001500D7"/>
    <w:rsid w:val="0015268D"/>
    <w:rsid w:val="0015479A"/>
    <w:rsid w:val="00180A42"/>
    <w:rsid w:val="00185316"/>
    <w:rsid w:val="00190D11"/>
    <w:rsid w:val="001B69C8"/>
    <w:rsid w:val="001C311F"/>
    <w:rsid w:val="001C36E1"/>
    <w:rsid w:val="001F075D"/>
    <w:rsid w:val="0021267B"/>
    <w:rsid w:val="00235574"/>
    <w:rsid w:val="00245553"/>
    <w:rsid w:val="002575D3"/>
    <w:rsid w:val="00271CD3"/>
    <w:rsid w:val="00276618"/>
    <w:rsid w:val="00290969"/>
    <w:rsid w:val="002B1B71"/>
    <w:rsid w:val="002B5F28"/>
    <w:rsid w:val="002B6139"/>
    <w:rsid w:val="002C21C9"/>
    <w:rsid w:val="002D7C2E"/>
    <w:rsid w:val="002E13F3"/>
    <w:rsid w:val="002F1ED1"/>
    <w:rsid w:val="002F5534"/>
    <w:rsid w:val="003223B1"/>
    <w:rsid w:val="003374B0"/>
    <w:rsid w:val="00341AF9"/>
    <w:rsid w:val="00342F34"/>
    <w:rsid w:val="003431BD"/>
    <w:rsid w:val="00351BB3"/>
    <w:rsid w:val="003521B9"/>
    <w:rsid w:val="003563C7"/>
    <w:rsid w:val="00365349"/>
    <w:rsid w:val="00374858"/>
    <w:rsid w:val="00383F2F"/>
    <w:rsid w:val="003B4BFD"/>
    <w:rsid w:val="003B5676"/>
    <w:rsid w:val="003E4603"/>
    <w:rsid w:val="003F0593"/>
    <w:rsid w:val="00413A90"/>
    <w:rsid w:val="0043155C"/>
    <w:rsid w:val="00455FE5"/>
    <w:rsid w:val="00464E8A"/>
    <w:rsid w:val="00472E12"/>
    <w:rsid w:val="00481AA2"/>
    <w:rsid w:val="00481E63"/>
    <w:rsid w:val="004A0E88"/>
    <w:rsid w:val="004B011B"/>
    <w:rsid w:val="004B40EA"/>
    <w:rsid w:val="004F05E3"/>
    <w:rsid w:val="0050266B"/>
    <w:rsid w:val="00512E3A"/>
    <w:rsid w:val="00550B7A"/>
    <w:rsid w:val="00572E4A"/>
    <w:rsid w:val="00581AF4"/>
    <w:rsid w:val="00584D76"/>
    <w:rsid w:val="005B69A3"/>
    <w:rsid w:val="005D5E49"/>
    <w:rsid w:val="005F5384"/>
    <w:rsid w:val="005F5D07"/>
    <w:rsid w:val="00605E4F"/>
    <w:rsid w:val="00617BA3"/>
    <w:rsid w:val="006212F7"/>
    <w:rsid w:val="00627163"/>
    <w:rsid w:val="00641DFC"/>
    <w:rsid w:val="0065564E"/>
    <w:rsid w:val="006717A3"/>
    <w:rsid w:val="00677FB7"/>
    <w:rsid w:val="0068232A"/>
    <w:rsid w:val="006972DD"/>
    <w:rsid w:val="006A5932"/>
    <w:rsid w:val="006B2FCD"/>
    <w:rsid w:val="006B4A29"/>
    <w:rsid w:val="006D1DAF"/>
    <w:rsid w:val="006F0968"/>
    <w:rsid w:val="00786619"/>
    <w:rsid w:val="007A156D"/>
    <w:rsid w:val="007D0E7D"/>
    <w:rsid w:val="007D2D61"/>
    <w:rsid w:val="007D6A6A"/>
    <w:rsid w:val="007D7FB3"/>
    <w:rsid w:val="007E126C"/>
    <w:rsid w:val="00831171"/>
    <w:rsid w:val="0084233D"/>
    <w:rsid w:val="00846DC4"/>
    <w:rsid w:val="00847599"/>
    <w:rsid w:val="00874D99"/>
    <w:rsid w:val="00885D88"/>
    <w:rsid w:val="008A3830"/>
    <w:rsid w:val="008C618E"/>
    <w:rsid w:val="008C6950"/>
    <w:rsid w:val="008E3173"/>
    <w:rsid w:val="008F21BC"/>
    <w:rsid w:val="008F7D45"/>
    <w:rsid w:val="00914E9B"/>
    <w:rsid w:val="00921EE4"/>
    <w:rsid w:val="009408DF"/>
    <w:rsid w:val="00950C7B"/>
    <w:rsid w:val="0095216B"/>
    <w:rsid w:val="00955260"/>
    <w:rsid w:val="009612C7"/>
    <w:rsid w:val="009A709B"/>
    <w:rsid w:val="009B19F4"/>
    <w:rsid w:val="009B64ED"/>
    <w:rsid w:val="009B6993"/>
    <w:rsid w:val="009C2CBC"/>
    <w:rsid w:val="009F5DB4"/>
    <w:rsid w:val="00A50250"/>
    <w:rsid w:val="00A50339"/>
    <w:rsid w:val="00A64106"/>
    <w:rsid w:val="00A652AF"/>
    <w:rsid w:val="00A80232"/>
    <w:rsid w:val="00A85F7E"/>
    <w:rsid w:val="00AA2AED"/>
    <w:rsid w:val="00AB4555"/>
    <w:rsid w:val="00AC59D2"/>
    <w:rsid w:val="00AF70FF"/>
    <w:rsid w:val="00B40D44"/>
    <w:rsid w:val="00B43540"/>
    <w:rsid w:val="00B60411"/>
    <w:rsid w:val="00B70D3E"/>
    <w:rsid w:val="00B73C48"/>
    <w:rsid w:val="00BB01CB"/>
    <w:rsid w:val="00BE0904"/>
    <w:rsid w:val="00BF15F0"/>
    <w:rsid w:val="00C42E6E"/>
    <w:rsid w:val="00CC3B34"/>
    <w:rsid w:val="00CD14B4"/>
    <w:rsid w:val="00CE5F66"/>
    <w:rsid w:val="00CE774B"/>
    <w:rsid w:val="00D209FB"/>
    <w:rsid w:val="00D220FC"/>
    <w:rsid w:val="00D33927"/>
    <w:rsid w:val="00D411DB"/>
    <w:rsid w:val="00D4350C"/>
    <w:rsid w:val="00D51F86"/>
    <w:rsid w:val="00D93DD7"/>
    <w:rsid w:val="00DC459A"/>
    <w:rsid w:val="00DD363D"/>
    <w:rsid w:val="00DF0B8A"/>
    <w:rsid w:val="00E16322"/>
    <w:rsid w:val="00E25971"/>
    <w:rsid w:val="00E4512B"/>
    <w:rsid w:val="00E543AB"/>
    <w:rsid w:val="00E71051"/>
    <w:rsid w:val="00E72920"/>
    <w:rsid w:val="00E73925"/>
    <w:rsid w:val="00E73AE5"/>
    <w:rsid w:val="00E7682E"/>
    <w:rsid w:val="00E85F2E"/>
    <w:rsid w:val="00E91E2E"/>
    <w:rsid w:val="00EA0BB7"/>
    <w:rsid w:val="00EA0DB7"/>
    <w:rsid w:val="00EA7E43"/>
    <w:rsid w:val="00EB3F28"/>
    <w:rsid w:val="00F02F69"/>
    <w:rsid w:val="00F15203"/>
    <w:rsid w:val="00F33437"/>
    <w:rsid w:val="00F34EAF"/>
    <w:rsid w:val="00F44203"/>
    <w:rsid w:val="00F4535A"/>
    <w:rsid w:val="00F66940"/>
    <w:rsid w:val="00F80D04"/>
    <w:rsid w:val="00FA71DF"/>
    <w:rsid w:val="00FB17C2"/>
    <w:rsid w:val="00FC2D79"/>
    <w:rsid w:val="00FD3613"/>
    <w:rsid w:val="00FD5146"/>
    <w:rsid w:val="00FF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D0B8D"/>
  <w15:docId w15:val="{48EE103F-C961-4BE7-B5CB-6705D55E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1B"/>
    <w:rPr>
      <w:rFonts w:ascii="Tahoma" w:hAnsi="Tahoma" w:cs="Tahoma"/>
      <w:sz w:val="16"/>
      <w:szCs w:val="16"/>
    </w:rPr>
  </w:style>
  <w:style w:type="paragraph" w:styleId="Footer">
    <w:name w:val="footer"/>
    <w:basedOn w:val="Normal"/>
    <w:link w:val="FooterChar"/>
    <w:rsid w:val="00A502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50250"/>
    <w:rPr>
      <w:rFonts w:ascii="Times New Roman" w:eastAsia="Times New Roman" w:hAnsi="Times New Roman" w:cs="Times New Roman"/>
      <w:sz w:val="24"/>
      <w:szCs w:val="24"/>
    </w:rPr>
  </w:style>
  <w:style w:type="character" w:styleId="Hyperlink">
    <w:name w:val="Hyperlink"/>
    <w:basedOn w:val="DefaultParagraphFont"/>
    <w:rsid w:val="009F5DB4"/>
    <w:rPr>
      <w:color w:val="0000FF"/>
      <w:u w:val="single"/>
    </w:rPr>
  </w:style>
  <w:style w:type="paragraph" w:styleId="BodyTextIndent">
    <w:name w:val="Body Text Indent"/>
    <w:basedOn w:val="Normal"/>
    <w:link w:val="BodyTextIndentChar"/>
    <w:rsid w:val="009F5DB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F5DB4"/>
    <w:rPr>
      <w:rFonts w:ascii="Times New Roman" w:eastAsia="Times New Roman" w:hAnsi="Times New Roman" w:cs="Times New Roman"/>
      <w:sz w:val="24"/>
      <w:szCs w:val="24"/>
    </w:rPr>
  </w:style>
  <w:style w:type="paragraph" w:styleId="ListParagraph">
    <w:name w:val="List Paragraph"/>
    <w:basedOn w:val="Normal"/>
    <w:uiPriority w:val="34"/>
    <w:qFormat/>
    <w:rsid w:val="009F5DB4"/>
    <w:pPr>
      <w:ind w:left="720"/>
      <w:contextualSpacing/>
    </w:pPr>
  </w:style>
  <w:style w:type="paragraph" w:customStyle="1" w:styleId="Default">
    <w:name w:val="Default"/>
    <w:rsid w:val="00E25971"/>
    <w:pPr>
      <w:widowControl w:val="0"/>
      <w:spacing w:after="0" w:line="240" w:lineRule="auto"/>
    </w:pPr>
    <w:rPr>
      <w:rFonts w:ascii="Lucida Grande" w:eastAsia="ヒラギノ角ゴ Pro W3" w:hAnsi="Lucida Grande" w:cs="Times New Roman"/>
      <w:color w:val="000000"/>
      <w:sz w:val="24"/>
      <w:szCs w:val="20"/>
    </w:rPr>
  </w:style>
  <w:style w:type="paragraph" w:styleId="NoSpacing">
    <w:name w:val="No Spacing"/>
    <w:uiPriority w:val="1"/>
    <w:qFormat/>
    <w:rsid w:val="00D4350C"/>
    <w:pPr>
      <w:spacing w:after="0" w:line="240" w:lineRule="auto"/>
    </w:pPr>
    <w:rPr>
      <w:rFonts w:eastAsiaTheme="minorEastAsia"/>
      <w:sz w:val="24"/>
      <w:szCs w:val="24"/>
    </w:rPr>
  </w:style>
  <w:style w:type="paragraph" w:styleId="NormalWeb">
    <w:name w:val="Normal (Web)"/>
    <w:basedOn w:val="Normal"/>
    <w:uiPriority w:val="99"/>
    <w:unhideWhenUsed/>
    <w:rsid w:val="003431B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B60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90">
      <w:bodyDiv w:val="1"/>
      <w:marLeft w:val="0"/>
      <w:marRight w:val="0"/>
      <w:marTop w:val="0"/>
      <w:marBottom w:val="0"/>
      <w:divBdr>
        <w:top w:val="none" w:sz="0" w:space="0" w:color="auto"/>
        <w:left w:val="none" w:sz="0" w:space="0" w:color="auto"/>
        <w:bottom w:val="none" w:sz="0" w:space="0" w:color="auto"/>
        <w:right w:val="none" w:sz="0" w:space="0" w:color="auto"/>
      </w:divBdr>
    </w:div>
    <w:div w:id="213320337">
      <w:bodyDiv w:val="1"/>
      <w:marLeft w:val="0"/>
      <w:marRight w:val="0"/>
      <w:marTop w:val="0"/>
      <w:marBottom w:val="0"/>
      <w:divBdr>
        <w:top w:val="none" w:sz="0" w:space="0" w:color="auto"/>
        <w:left w:val="none" w:sz="0" w:space="0" w:color="auto"/>
        <w:bottom w:val="none" w:sz="0" w:space="0" w:color="auto"/>
        <w:right w:val="none" w:sz="0" w:space="0" w:color="auto"/>
      </w:divBdr>
    </w:div>
    <w:div w:id="681905242">
      <w:bodyDiv w:val="1"/>
      <w:marLeft w:val="0"/>
      <w:marRight w:val="0"/>
      <w:marTop w:val="0"/>
      <w:marBottom w:val="0"/>
      <w:divBdr>
        <w:top w:val="none" w:sz="0" w:space="0" w:color="auto"/>
        <w:left w:val="none" w:sz="0" w:space="0" w:color="auto"/>
        <w:bottom w:val="none" w:sz="0" w:space="0" w:color="auto"/>
        <w:right w:val="none" w:sz="0" w:space="0" w:color="auto"/>
      </w:divBdr>
    </w:div>
    <w:div w:id="705178720">
      <w:bodyDiv w:val="1"/>
      <w:marLeft w:val="0"/>
      <w:marRight w:val="0"/>
      <w:marTop w:val="0"/>
      <w:marBottom w:val="0"/>
      <w:divBdr>
        <w:top w:val="none" w:sz="0" w:space="0" w:color="auto"/>
        <w:left w:val="none" w:sz="0" w:space="0" w:color="auto"/>
        <w:bottom w:val="none" w:sz="0" w:space="0" w:color="auto"/>
        <w:right w:val="none" w:sz="0" w:space="0" w:color="auto"/>
      </w:divBdr>
    </w:div>
    <w:div w:id="834033999">
      <w:bodyDiv w:val="1"/>
      <w:marLeft w:val="0"/>
      <w:marRight w:val="0"/>
      <w:marTop w:val="0"/>
      <w:marBottom w:val="0"/>
      <w:divBdr>
        <w:top w:val="none" w:sz="0" w:space="0" w:color="auto"/>
        <w:left w:val="none" w:sz="0" w:space="0" w:color="auto"/>
        <w:bottom w:val="none" w:sz="0" w:space="0" w:color="auto"/>
        <w:right w:val="none" w:sz="0" w:space="0" w:color="auto"/>
      </w:divBdr>
    </w:div>
    <w:div w:id="1420979753">
      <w:bodyDiv w:val="1"/>
      <w:marLeft w:val="0"/>
      <w:marRight w:val="0"/>
      <w:marTop w:val="0"/>
      <w:marBottom w:val="0"/>
      <w:divBdr>
        <w:top w:val="none" w:sz="0" w:space="0" w:color="auto"/>
        <w:left w:val="none" w:sz="0" w:space="0" w:color="auto"/>
        <w:bottom w:val="none" w:sz="0" w:space="0" w:color="auto"/>
        <w:right w:val="none" w:sz="0" w:space="0" w:color="auto"/>
      </w:divBdr>
    </w:div>
    <w:div w:id="1583636268">
      <w:bodyDiv w:val="1"/>
      <w:marLeft w:val="0"/>
      <w:marRight w:val="0"/>
      <w:marTop w:val="0"/>
      <w:marBottom w:val="0"/>
      <w:divBdr>
        <w:top w:val="none" w:sz="0" w:space="0" w:color="auto"/>
        <w:left w:val="none" w:sz="0" w:space="0" w:color="auto"/>
        <w:bottom w:val="none" w:sz="0" w:space="0" w:color="auto"/>
        <w:right w:val="none" w:sz="0" w:space="0" w:color="auto"/>
      </w:divBdr>
    </w:div>
    <w:div w:id="18255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RAANYC.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ipients xmlns="6a6afcd8-f2a5-4a64-ada6-6b0afee90efe" xsi:nil="true"/>
    <From xmlns="6a6afcd8-f2a5-4a64-ada6-6b0afee90efe" xsi:nil="true"/>
    <ReceivedTime xmlns="6a6afcd8-f2a5-4a64-ada6-6b0afee90e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8D6DD1FC25140B1750C85221BB554" ma:contentTypeVersion="3" ma:contentTypeDescription="Create a new document." ma:contentTypeScope="" ma:versionID="d218e0a5f5c11ada82f0b19bc25e2939">
  <xsd:schema xmlns:xsd="http://www.w3.org/2001/XMLSchema" xmlns:xs="http://www.w3.org/2001/XMLSchema" xmlns:p="http://schemas.microsoft.com/office/2006/metadata/properties" xmlns:ns2="6a6afcd8-f2a5-4a64-ada6-6b0afee90efe" targetNamespace="http://schemas.microsoft.com/office/2006/metadata/properties" ma:root="true" ma:fieldsID="6a6f02ef2a32ba0b005766e7710c7c05" ns2:_="">
    <xsd:import namespace="6a6afcd8-f2a5-4a64-ada6-6b0afee90efe"/>
    <xsd:element name="properties">
      <xsd:complexType>
        <xsd:sequence>
          <xsd:element name="documentManagement">
            <xsd:complexType>
              <xsd:all>
                <xsd:element ref="ns2:ReceivedTime" minOccurs="0"/>
                <xsd:element ref="ns2:From" minOccurs="0"/>
                <xsd:element ref="ns2:Recipi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afcd8-f2a5-4a64-ada6-6b0afee90efe"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5BF5-C558-44A7-A464-E76E17FE6B27}">
  <ds:schemaRefs>
    <ds:schemaRef ds:uri="http://schemas.microsoft.com/office/2006/metadata/properties"/>
    <ds:schemaRef ds:uri="http://schemas.microsoft.com/office/infopath/2007/PartnerControls"/>
    <ds:schemaRef ds:uri="6a6afcd8-f2a5-4a64-ada6-6b0afee90efe"/>
  </ds:schemaRefs>
</ds:datastoreItem>
</file>

<file path=customXml/itemProps2.xml><?xml version="1.0" encoding="utf-8"?>
<ds:datastoreItem xmlns:ds="http://schemas.openxmlformats.org/officeDocument/2006/customXml" ds:itemID="{D3CB63FF-DB3D-47E9-A05E-18632A91A82F}">
  <ds:schemaRefs>
    <ds:schemaRef ds:uri="http://schemas.microsoft.com/sharepoint/v3/contenttype/forms"/>
  </ds:schemaRefs>
</ds:datastoreItem>
</file>

<file path=customXml/itemProps3.xml><?xml version="1.0" encoding="utf-8"?>
<ds:datastoreItem xmlns:ds="http://schemas.openxmlformats.org/officeDocument/2006/customXml" ds:itemID="{57A44AD6-EE08-4CD1-ADDB-8E71F1F1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afcd8-f2a5-4a64-ada6-6b0afee90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0375A-D3D6-42A4-9858-D8CD1DB9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Kelly</dc:creator>
  <cp:lastModifiedBy>Levy, Mike</cp:lastModifiedBy>
  <cp:revision>4</cp:revision>
  <cp:lastPrinted>2017-11-11T17:28:00Z</cp:lastPrinted>
  <dcterms:created xsi:type="dcterms:W3CDTF">2017-11-11T17:29:00Z</dcterms:created>
  <dcterms:modified xsi:type="dcterms:W3CDTF">2017-11-12T16:08:00Z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0x0101008BE8D6DD1FC25140B1750C85221BB554</vt:lpwstr>
  </property>
</Properties>
</file>